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9689" w14:textId="5589922B" w:rsidR="00975471" w:rsidRPr="00975471" w:rsidRDefault="00975471" w:rsidP="00975471">
      <w:pPr>
        <w:shd w:val="clear" w:color="auto" w:fill="FFFFFF"/>
        <w:outlineLvl w:val="0"/>
        <w:rPr>
          <w:rFonts w:ascii="Lato" w:eastAsia="Times New Roman" w:hAnsi="Lato" w:cs="Times New Roman"/>
          <w:color w:val="CC3300"/>
          <w:kern w:val="36"/>
          <w:sz w:val="36"/>
          <w:szCs w:val="36"/>
          <w:lang w:eastAsia="fr-FR"/>
        </w:rPr>
      </w:pPr>
      <w:r w:rsidRPr="00975471">
        <w:rPr>
          <w:rFonts w:ascii="Lato" w:eastAsia="Times New Roman" w:hAnsi="Lato" w:cs="Times New Roman"/>
          <w:color w:val="CC3300"/>
          <w:kern w:val="36"/>
          <w:sz w:val="36"/>
          <w:szCs w:val="36"/>
          <w:lang w:eastAsia="fr-FR"/>
        </w:rPr>
        <w:t>Métaux de base</w:t>
      </w:r>
      <w:r>
        <w:rPr>
          <w:rFonts w:ascii="Lato" w:eastAsia="Times New Roman" w:hAnsi="Lato" w:cs="Times New Roman"/>
          <w:color w:val="CC3300"/>
          <w:kern w:val="36"/>
          <w:sz w:val="36"/>
          <w:szCs w:val="36"/>
          <w:lang w:eastAsia="fr-FR"/>
        </w:rPr>
        <w:t>,</w:t>
      </w:r>
      <w:r w:rsidRPr="00975471">
        <w:rPr>
          <w:rFonts w:ascii="Lato" w:eastAsia="Times New Roman" w:hAnsi="Lato" w:cs="Times New Roman"/>
          <w:color w:val="CC3300"/>
          <w:kern w:val="36"/>
          <w:sz w:val="36"/>
          <w:szCs w:val="36"/>
          <w:lang w:eastAsia="fr-FR"/>
        </w:rPr>
        <w:t xml:space="preserve"> quelle évolution pour les métaux en 2022 </w:t>
      </w:r>
    </w:p>
    <w:p w14:paraId="6BAD3A67"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b/>
          <w:bCs/>
          <w:color w:val="000000"/>
          <w:sz w:val="23"/>
          <w:szCs w:val="23"/>
          <w:lang w:eastAsia="fr-FR"/>
        </w:rPr>
        <w:t>Après une année 2021 perturbée par la pandémie de Covid-19, mais qui s’est révélée être exceptionnelle, les métaux de base pourraient avoir à affronter des vents contraires en 2022, même s’ils sont portés par la croissance de la demande liée à la transition énergétique.</w:t>
      </w:r>
    </w:p>
    <w:p w14:paraId="6FA668BE"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w:t>
      </w:r>
    </w:p>
    <w:p w14:paraId="5E0D2D71"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xml:space="preserve">Si les performances réalisées par les métaux de base ont été exceptionnelles en 2021, il n’en reste pas moins que ces derniers ont eu à relever des défis, lesquels ont, en partie, été responsables de la flambée des cours, rappelle Andrew Cole, analyste pour </w:t>
      </w:r>
      <w:proofErr w:type="spellStart"/>
      <w:r w:rsidRPr="00975471">
        <w:rPr>
          <w:rFonts w:ascii="Lato" w:eastAsia="Times New Roman" w:hAnsi="Lato" w:cs="Times New Roman"/>
          <w:color w:val="000000"/>
          <w:sz w:val="23"/>
          <w:szCs w:val="23"/>
          <w:lang w:eastAsia="fr-FR"/>
        </w:rPr>
        <w:t>Fastmarkets</w:t>
      </w:r>
      <w:proofErr w:type="spellEnd"/>
      <w:r w:rsidRPr="00975471">
        <w:rPr>
          <w:rFonts w:ascii="Lato" w:eastAsia="Times New Roman" w:hAnsi="Lato" w:cs="Times New Roman"/>
          <w:color w:val="000000"/>
          <w:sz w:val="23"/>
          <w:szCs w:val="23"/>
          <w:lang w:eastAsia="fr-FR"/>
        </w:rPr>
        <w:t>.</w:t>
      </w:r>
    </w:p>
    <w:p w14:paraId="3A9541F6"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xml:space="preserve">Maintenir les chaînes d’approvisionnement a été l’un d’entre eux. Elles ont, en effet, été mises à rude épreuve avec les interruptions de production, la pénurie de containers et les engorgements dans les ports. Les usines, dont les stocks étaient bas, ont peiné à répondre à la forte reprise de la demande, explique Gregory </w:t>
      </w:r>
      <w:proofErr w:type="spellStart"/>
      <w:r w:rsidRPr="00975471">
        <w:rPr>
          <w:rFonts w:ascii="Lato" w:eastAsia="Times New Roman" w:hAnsi="Lato" w:cs="Times New Roman"/>
          <w:color w:val="000000"/>
          <w:sz w:val="23"/>
          <w:szCs w:val="23"/>
          <w:lang w:eastAsia="fr-FR"/>
        </w:rPr>
        <w:t>Shearer</w:t>
      </w:r>
      <w:proofErr w:type="spellEnd"/>
      <w:r w:rsidRPr="00975471">
        <w:rPr>
          <w:rFonts w:ascii="Lato" w:eastAsia="Times New Roman" w:hAnsi="Lato" w:cs="Times New Roman"/>
          <w:color w:val="000000"/>
          <w:sz w:val="23"/>
          <w:szCs w:val="23"/>
          <w:lang w:eastAsia="fr-FR"/>
        </w:rPr>
        <w:t>, responsable de la recherche sur les métaux chez JP Morgan.</w:t>
      </w:r>
    </w:p>
    <w:p w14:paraId="0B104227"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Un autre élément, et pas des moindres, à avoir contribué à la hausse des cours, a été la flambée des prix de l’énergie. Si les entreprises prémunies contre cette flambée ont tiré les bénéfices de la situation, celles qui ont dû l’endosser ont souffert. Notamment, les producteurs d’aluminium et de zinc qui ont dû fermer des capacités.</w:t>
      </w:r>
    </w:p>
    <w:p w14:paraId="09C68619"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w:t>
      </w:r>
      <w:r w:rsidRPr="00975471">
        <w:rPr>
          <w:rFonts w:ascii="Lato" w:eastAsia="Times New Roman" w:hAnsi="Lato" w:cs="Times New Roman"/>
          <w:i/>
          <w:iCs/>
          <w:color w:val="000000"/>
          <w:sz w:val="23"/>
          <w:szCs w:val="23"/>
          <w:lang w:eastAsia="fr-FR"/>
        </w:rPr>
        <w:t>Les métaux ont démarré 2021 sur une note de fermeté, qu’ils ont conservée toute l’année</w:t>
      </w:r>
      <w:r w:rsidRPr="00975471">
        <w:rPr>
          <w:rFonts w:ascii="Lato" w:eastAsia="Times New Roman" w:hAnsi="Lato" w:cs="Times New Roman"/>
          <w:color w:val="000000"/>
          <w:sz w:val="23"/>
          <w:szCs w:val="23"/>
          <w:lang w:eastAsia="fr-FR"/>
        </w:rPr>
        <w:t xml:space="preserve"> », souligne John </w:t>
      </w:r>
      <w:proofErr w:type="spellStart"/>
      <w:r w:rsidRPr="00975471">
        <w:rPr>
          <w:rFonts w:ascii="Lato" w:eastAsia="Times New Roman" w:hAnsi="Lato" w:cs="Times New Roman"/>
          <w:color w:val="000000"/>
          <w:sz w:val="23"/>
          <w:szCs w:val="23"/>
          <w:lang w:eastAsia="fr-FR"/>
        </w:rPr>
        <w:t>Mothersole</w:t>
      </w:r>
      <w:proofErr w:type="spellEnd"/>
      <w:r w:rsidRPr="00975471">
        <w:rPr>
          <w:rFonts w:ascii="Lato" w:eastAsia="Times New Roman" w:hAnsi="Lato" w:cs="Times New Roman"/>
          <w:color w:val="000000"/>
          <w:sz w:val="23"/>
          <w:szCs w:val="23"/>
          <w:lang w:eastAsia="fr-FR"/>
        </w:rPr>
        <w:t xml:space="preserve">, directeur du service achats et prix de IHS </w:t>
      </w:r>
      <w:proofErr w:type="spellStart"/>
      <w:r w:rsidRPr="00975471">
        <w:rPr>
          <w:rFonts w:ascii="Lato" w:eastAsia="Times New Roman" w:hAnsi="Lato" w:cs="Times New Roman"/>
          <w:color w:val="000000"/>
          <w:sz w:val="23"/>
          <w:szCs w:val="23"/>
          <w:lang w:eastAsia="fr-FR"/>
        </w:rPr>
        <w:t>Markit</w:t>
      </w:r>
      <w:proofErr w:type="spellEnd"/>
      <w:r w:rsidRPr="00975471">
        <w:rPr>
          <w:rFonts w:ascii="Lato" w:eastAsia="Times New Roman" w:hAnsi="Lato" w:cs="Times New Roman"/>
          <w:color w:val="000000"/>
          <w:sz w:val="23"/>
          <w:szCs w:val="23"/>
          <w:lang w:eastAsia="fr-FR"/>
        </w:rPr>
        <w:t>. Selon Christian Georges, directeur de la division des marchés actions pour les métaux de Société Générale, la robustesse des cours a débuté quand les acteurs de marché ont compris que ce qui se passait était différent de ce qu’ils avaient vécu lors de la crise financière de 2008. «</w:t>
      </w:r>
      <w:r w:rsidRPr="00975471">
        <w:rPr>
          <w:rFonts w:ascii="Lato" w:eastAsia="Times New Roman" w:hAnsi="Lato" w:cs="Times New Roman"/>
          <w:i/>
          <w:iCs/>
          <w:color w:val="000000"/>
          <w:sz w:val="23"/>
          <w:szCs w:val="23"/>
          <w:lang w:eastAsia="fr-FR"/>
        </w:rPr>
        <w:t> La demande est repartie au-delà des attentes et nous avons enregistré une reprise en V</w:t>
      </w:r>
      <w:r w:rsidRPr="00975471">
        <w:rPr>
          <w:rFonts w:ascii="Lato" w:eastAsia="Times New Roman" w:hAnsi="Lato" w:cs="Times New Roman"/>
          <w:color w:val="000000"/>
          <w:sz w:val="23"/>
          <w:szCs w:val="23"/>
          <w:lang w:eastAsia="fr-FR"/>
        </w:rPr>
        <w:t xml:space="preserve"> », déclare Matt </w:t>
      </w:r>
      <w:proofErr w:type="spellStart"/>
      <w:r w:rsidRPr="00975471">
        <w:rPr>
          <w:rFonts w:ascii="Lato" w:eastAsia="Times New Roman" w:hAnsi="Lato" w:cs="Times New Roman"/>
          <w:color w:val="000000"/>
          <w:sz w:val="23"/>
          <w:szCs w:val="23"/>
          <w:lang w:eastAsia="fr-FR"/>
        </w:rPr>
        <w:t>Aboud</w:t>
      </w:r>
      <w:proofErr w:type="spellEnd"/>
      <w:r w:rsidRPr="00975471">
        <w:rPr>
          <w:rFonts w:ascii="Lato" w:eastAsia="Times New Roman" w:hAnsi="Lato" w:cs="Times New Roman"/>
          <w:color w:val="000000"/>
          <w:sz w:val="23"/>
          <w:szCs w:val="23"/>
          <w:lang w:eastAsia="fr-FR"/>
        </w:rPr>
        <w:t>, vice-président senior à la stratégie et au développement chez </w:t>
      </w:r>
      <w:r w:rsidRPr="00975471">
        <w:rPr>
          <w:rFonts w:ascii="Lato" w:eastAsia="Times New Roman" w:hAnsi="Lato" w:cs="Times New Roman"/>
          <w:b/>
          <w:bCs/>
          <w:color w:val="000000"/>
          <w:sz w:val="23"/>
          <w:szCs w:val="23"/>
          <w:lang w:eastAsia="fr-FR"/>
        </w:rPr>
        <w:t>Century Aluminium</w:t>
      </w:r>
      <w:r w:rsidRPr="00975471">
        <w:rPr>
          <w:rFonts w:ascii="Lato" w:eastAsia="Times New Roman" w:hAnsi="Lato" w:cs="Times New Roman"/>
          <w:color w:val="000000"/>
          <w:sz w:val="23"/>
          <w:szCs w:val="23"/>
          <w:lang w:eastAsia="fr-FR"/>
        </w:rPr>
        <w:t>.</w:t>
      </w:r>
    </w:p>
    <w:p w14:paraId="20131BD7"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Emmenés par le rebond de la demande, les métaux ont inscrit des records en 2021 : le cuivre a atteint 10.747,5 $/t et l’aluminium a franchi la barre des 3.000 $/t. Et si les cours ont un peu reflué depuis, ils demeurent à des records atteints il y a dix ans.</w:t>
      </w:r>
    </w:p>
    <w:p w14:paraId="181FC7C5"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w:t>
      </w:r>
    </w:p>
    <w:p w14:paraId="163FA10B"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b/>
          <w:bCs/>
          <w:color w:val="A52A2A"/>
          <w:sz w:val="23"/>
          <w:szCs w:val="23"/>
          <w:lang w:eastAsia="fr-FR"/>
        </w:rPr>
        <w:t>Des marchés plus équilibrés en 2022</w:t>
      </w:r>
    </w:p>
    <w:p w14:paraId="2211D99F"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xml:space="preserve">La tendance enregistrée en 2021 devrait se poursuivre au moins jusqu’au début de l’année 2022, prévoit Andrew Cole, de </w:t>
      </w:r>
      <w:proofErr w:type="spellStart"/>
      <w:r w:rsidRPr="00975471">
        <w:rPr>
          <w:rFonts w:ascii="Lato" w:eastAsia="Times New Roman" w:hAnsi="Lato" w:cs="Times New Roman"/>
          <w:color w:val="000000"/>
          <w:sz w:val="23"/>
          <w:szCs w:val="23"/>
          <w:lang w:eastAsia="fr-FR"/>
        </w:rPr>
        <w:t>Fastmarkets</w:t>
      </w:r>
      <w:proofErr w:type="spellEnd"/>
      <w:r w:rsidRPr="00975471">
        <w:rPr>
          <w:rFonts w:ascii="Lato" w:eastAsia="Times New Roman" w:hAnsi="Lato" w:cs="Times New Roman"/>
          <w:color w:val="000000"/>
          <w:sz w:val="23"/>
          <w:szCs w:val="23"/>
          <w:lang w:eastAsia="fr-FR"/>
        </w:rPr>
        <w:t>, qui table sur une seconde année de forte croissance économique, qui devrait porter la demande en métaux de base. Reste à savoir dans quelle mesure ce contexte haussier sera bénéfique pour les cours, au regard des facteurs baissiers existants. En effet, les banques centrales commencent à durcir leur politique monétaire, la croissance chinoise ralentit et le contexte macroéconomique est plus mitigé. Il faudra aussi composer avec des problèmes géopolitiques. «</w:t>
      </w:r>
      <w:r w:rsidRPr="00975471">
        <w:rPr>
          <w:rFonts w:ascii="Lato" w:eastAsia="Times New Roman" w:hAnsi="Lato" w:cs="Times New Roman"/>
          <w:i/>
          <w:iCs/>
          <w:color w:val="000000"/>
          <w:sz w:val="23"/>
          <w:szCs w:val="23"/>
          <w:lang w:eastAsia="fr-FR"/>
        </w:rPr>
        <w:t> Nous sommes haussiers, mais pas au point de voir les cours progresser de manière significative, au regard des risques qui existent en dehors des fondamentaux et qui pourraient entraîner un retournement de tendance</w:t>
      </w:r>
      <w:r w:rsidRPr="00975471">
        <w:rPr>
          <w:rFonts w:ascii="Lato" w:eastAsia="Times New Roman" w:hAnsi="Lato" w:cs="Times New Roman"/>
          <w:color w:val="000000"/>
          <w:sz w:val="23"/>
          <w:szCs w:val="23"/>
          <w:lang w:eastAsia="fr-FR"/>
        </w:rPr>
        <w:t xml:space="preserve"> », </w:t>
      </w:r>
      <w:proofErr w:type="spellStart"/>
      <w:r w:rsidRPr="00975471">
        <w:rPr>
          <w:rFonts w:ascii="Lato" w:eastAsia="Times New Roman" w:hAnsi="Lato" w:cs="Times New Roman"/>
          <w:color w:val="000000"/>
          <w:sz w:val="23"/>
          <w:szCs w:val="23"/>
          <w:lang w:eastAsia="fr-FR"/>
        </w:rPr>
        <w:t>a-t-il</w:t>
      </w:r>
      <w:proofErr w:type="spellEnd"/>
      <w:r w:rsidRPr="00975471">
        <w:rPr>
          <w:rFonts w:ascii="Lato" w:eastAsia="Times New Roman" w:hAnsi="Lato" w:cs="Times New Roman"/>
          <w:color w:val="000000"/>
          <w:sz w:val="23"/>
          <w:szCs w:val="23"/>
          <w:lang w:eastAsia="fr-FR"/>
        </w:rPr>
        <w:t xml:space="preserve"> déclaré.</w:t>
      </w:r>
    </w:p>
    <w:p w14:paraId="21D66C33"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xml:space="preserve">D’autres observateurs, tels que John </w:t>
      </w:r>
      <w:proofErr w:type="spellStart"/>
      <w:r w:rsidRPr="00975471">
        <w:rPr>
          <w:rFonts w:ascii="Lato" w:eastAsia="Times New Roman" w:hAnsi="Lato" w:cs="Times New Roman"/>
          <w:color w:val="000000"/>
          <w:sz w:val="23"/>
          <w:szCs w:val="23"/>
          <w:lang w:eastAsia="fr-FR"/>
        </w:rPr>
        <w:t>Mothersole</w:t>
      </w:r>
      <w:proofErr w:type="spellEnd"/>
      <w:r w:rsidRPr="00975471">
        <w:rPr>
          <w:rFonts w:ascii="Lato" w:eastAsia="Times New Roman" w:hAnsi="Lato" w:cs="Times New Roman"/>
          <w:color w:val="000000"/>
          <w:sz w:val="23"/>
          <w:szCs w:val="23"/>
          <w:lang w:eastAsia="fr-FR"/>
        </w:rPr>
        <w:t xml:space="preserve">, de IHS </w:t>
      </w:r>
      <w:proofErr w:type="spellStart"/>
      <w:r w:rsidRPr="00975471">
        <w:rPr>
          <w:rFonts w:ascii="Lato" w:eastAsia="Times New Roman" w:hAnsi="Lato" w:cs="Times New Roman"/>
          <w:color w:val="000000"/>
          <w:sz w:val="23"/>
          <w:szCs w:val="23"/>
          <w:lang w:eastAsia="fr-FR"/>
        </w:rPr>
        <w:t>Markit</w:t>
      </w:r>
      <w:proofErr w:type="spellEnd"/>
      <w:r w:rsidRPr="00975471">
        <w:rPr>
          <w:rFonts w:ascii="Lato" w:eastAsia="Times New Roman" w:hAnsi="Lato" w:cs="Times New Roman"/>
          <w:color w:val="000000"/>
          <w:sz w:val="23"/>
          <w:szCs w:val="23"/>
          <w:lang w:eastAsia="fr-FR"/>
        </w:rPr>
        <w:t>, prédisent une correction des cours cette année, mais «</w:t>
      </w:r>
      <w:r w:rsidRPr="00975471">
        <w:rPr>
          <w:rFonts w:ascii="Lato" w:eastAsia="Times New Roman" w:hAnsi="Lato" w:cs="Times New Roman"/>
          <w:i/>
          <w:iCs/>
          <w:color w:val="000000"/>
          <w:sz w:val="23"/>
          <w:szCs w:val="23"/>
          <w:lang w:eastAsia="fr-FR"/>
        </w:rPr>
        <w:t> pas dans une ampleur similaire à celle enregistrée au premier semestre 2020</w:t>
      </w:r>
      <w:r w:rsidRPr="00975471">
        <w:rPr>
          <w:rFonts w:ascii="Lato" w:eastAsia="Times New Roman" w:hAnsi="Lato" w:cs="Times New Roman"/>
          <w:color w:val="000000"/>
          <w:sz w:val="23"/>
          <w:szCs w:val="23"/>
          <w:lang w:eastAsia="fr-FR"/>
        </w:rPr>
        <w:t> », tempère-t-il.</w:t>
      </w:r>
    </w:p>
    <w:p w14:paraId="3A01A649"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lastRenderedPageBreak/>
        <w:t>Christian Georges, de Société Générale, a déclaré que si les bénéfices miniers allaient probablement diminuer en 2022, ce serait uniquement parce qu'ils ont été exceptionnels en 2021. «</w:t>
      </w:r>
      <w:r w:rsidRPr="00975471">
        <w:rPr>
          <w:rFonts w:ascii="Lato" w:eastAsia="Times New Roman" w:hAnsi="Lato" w:cs="Times New Roman"/>
          <w:i/>
          <w:iCs/>
          <w:color w:val="000000"/>
          <w:sz w:val="23"/>
          <w:szCs w:val="23"/>
          <w:lang w:eastAsia="fr-FR"/>
        </w:rPr>
        <w:t> Ce ne sera pas une mauvaise année</w:t>
      </w:r>
      <w:r w:rsidRPr="00975471">
        <w:rPr>
          <w:rFonts w:ascii="Lato" w:eastAsia="Times New Roman" w:hAnsi="Lato" w:cs="Times New Roman"/>
          <w:color w:val="000000"/>
          <w:sz w:val="23"/>
          <w:szCs w:val="23"/>
          <w:lang w:eastAsia="fr-FR"/>
        </w:rPr>
        <w:t xml:space="preserve"> », </w:t>
      </w:r>
      <w:proofErr w:type="spellStart"/>
      <w:r w:rsidRPr="00975471">
        <w:rPr>
          <w:rFonts w:ascii="Lato" w:eastAsia="Times New Roman" w:hAnsi="Lato" w:cs="Times New Roman"/>
          <w:color w:val="000000"/>
          <w:sz w:val="23"/>
          <w:szCs w:val="23"/>
          <w:lang w:eastAsia="fr-FR"/>
        </w:rPr>
        <w:t>a-t-il</w:t>
      </w:r>
      <w:proofErr w:type="spellEnd"/>
      <w:r w:rsidRPr="00975471">
        <w:rPr>
          <w:rFonts w:ascii="Lato" w:eastAsia="Times New Roman" w:hAnsi="Lato" w:cs="Times New Roman"/>
          <w:color w:val="000000"/>
          <w:sz w:val="23"/>
          <w:szCs w:val="23"/>
          <w:lang w:eastAsia="fr-FR"/>
        </w:rPr>
        <w:t xml:space="preserve"> rassuré.</w:t>
      </w:r>
    </w:p>
    <w:p w14:paraId="6C551C7A" w14:textId="77777777" w:rsidR="00975471" w:rsidRPr="00975471" w:rsidRDefault="00975471" w:rsidP="00975471">
      <w:pPr>
        <w:shd w:val="clear" w:color="auto" w:fill="FFFFFF"/>
        <w:spacing w:before="75" w:after="75"/>
        <w:jc w:val="both"/>
        <w:rPr>
          <w:rFonts w:ascii="Lato" w:eastAsia="Times New Roman" w:hAnsi="Lato" w:cs="Times New Roman"/>
          <w:color w:val="000000"/>
          <w:sz w:val="23"/>
          <w:szCs w:val="23"/>
          <w:lang w:eastAsia="fr-FR"/>
        </w:rPr>
      </w:pPr>
      <w:r w:rsidRPr="00975471">
        <w:rPr>
          <w:rFonts w:ascii="Lato" w:eastAsia="Times New Roman" w:hAnsi="Lato" w:cs="Times New Roman"/>
          <w:color w:val="000000"/>
          <w:sz w:val="23"/>
          <w:szCs w:val="23"/>
          <w:lang w:eastAsia="fr-FR"/>
        </w:rPr>
        <w:t xml:space="preserve">Gregory </w:t>
      </w:r>
      <w:proofErr w:type="spellStart"/>
      <w:r w:rsidRPr="00975471">
        <w:rPr>
          <w:rFonts w:ascii="Lato" w:eastAsia="Times New Roman" w:hAnsi="Lato" w:cs="Times New Roman"/>
          <w:color w:val="000000"/>
          <w:sz w:val="23"/>
          <w:szCs w:val="23"/>
          <w:lang w:eastAsia="fr-FR"/>
        </w:rPr>
        <w:t>Shearer</w:t>
      </w:r>
      <w:proofErr w:type="spellEnd"/>
      <w:r w:rsidRPr="00975471">
        <w:rPr>
          <w:rFonts w:ascii="Lato" w:eastAsia="Times New Roman" w:hAnsi="Lato" w:cs="Times New Roman"/>
          <w:color w:val="000000"/>
          <w:sz w:val="23"/>
          <w:szCs w:val="23"/>
          <w:lang w:eastAsia="fr-FR"/>
        </w:rPr>
        <w:t>, de JP Morgan, précise qu’au premier semestre les cours seront soutenus par le bas niveau des stocks. Et quant au second semestre, tout dépendra de la Chine. « </w:t>
      </w:r>
      <w:r w:rsidRPr="00975471">
        <w:rPr>
          <w:rFonts w:ascii="Lato" w:eastAsia="Times New Roman" w:hAnsi="Lato" w:cs="Times New Roman"/>
          <w:i/>
          <w:iCs/>
          <w:color w:val="000000"/>
          <w:sz w:val="23"/>
          <w:szCs w:val="23"/>
          <w:lang w:eastAsia="fr-FR"/>
        </w:rPr>
        <w:t>La croissance de la Chine devrait ressortir aux alentours de 4,7% en 2022</w:t>
      </w:r>
      <w:r w:rsidRPr="00975471">
        <w:rPr>
          <w:rFonts w:ascii="Lato" w:eastAsia="Times New Roman" w:hAnsi="Lato" w:cs="Times New Roman"/>
          <w:color w:val="000000"/>
          <w:sz w:val="23"/>
          <w:szCs w:val="23"/>
          <w:lang w:eastAsia="fr-FR"/>
        </w:rPr>
        <w:t> », ajoute-t-il. La politique chinoise, en matière d’immobilier, ne devrait pas trop se durcir, ce qui signifie que pour le cuivre et l’aluminium, la demande chinoise devrait progresser autour de 1% seulement en 2022. L’évolution des cours dépendra également de l’offre qui devrait progresser au regard du contexte de cours élevés et des difficultés moindres liées à la pandémie de Covid-19. L’analyste prévoit des progressions de production (mondiale) de 4,5% pour l’aluminium, de 3 à 3,5% pour le cuivre et de 7% environ pour le nickel en 2022. Les marchés seront plus équilibrés en 2022 qu’ils ne l’ont été en 2021. « </w:t>
      </w:r>
      <w:r w:rsidRPr="00975471">
        <w:rPr>
          <w:rFonts w:ascii="Lato" w:eastAsia="Times New Roman" w:hAnsi="Lato" w:cs="Times New Roman"/>
          <w:i/>
          <w:iCs/>
          <w:color w:val="000000"/>
          <w:sz w:val="23"/>
          <w:szCs w:val="23"/>
          <w:lang w:eastAsia="fr-FR"/>
        </w:rPr>
        <w:t>Puisque les fondamentaux sont robustes, il ne devrait pas y avoir d’ajustement à la baisse trop significatif et, si une correction a lieu, elle ne devrait pas durer outre mesure</w:t>
      </w:r>
      <w:r w:rsidRPr="00975471">
        <w:rPr>
          <w:rFonts w:ascii="Lato" w:eastAsia="Times New Roman" w:hAnsi="Lato" w:cs="Times New Roman"/>
          <w:color w:val="000000"/>
          <w:sz w:val="23"/>
          <w:szCs w:val="23"/>
          <w:lang w:eastAsia="fr-FR"/>
        </w:rPr>
        <w:t xml:space="preserve"> », conclut Michael </w:t>
      </w:r>
      <w:proofErr w:type="spellStart"/>
      <w:r w:rsidRPr="00975471">
        <w:rPr>
          <w:rFonts w:ascii="Lato" w:eastAsia="Times New Roman" w:hAnsi="Lato" w:cs="Times New Roman"/>
          <w:color w:val="000000"/>
          <w:sz w:val="23"/>
          <w:szCs w:val="23"/>
          <w:lang w:eastAsia="fr-FR"/>
        </w:rPr>
        <w:t>Haigh</w:t>
      </w:r>
      <w:proofErr w:type="spellEnd"/>
      <w:r w:rsidRPr="00975471">
        <w:rPr>
          <w:rFonts w:ascii="Lato" w:eastAsia="Times New Roman" w:hAnsi="Lato" w:cs="Times New Roman"/>
          <w:color w:val="000000"/>
          <w:sz w:val="23"/>
          <w:szCs w:val="23"/>
          <w:lang w:eastAsia="fr-FR"/>
        </w:rPr>
        <w:t>, de Société Générale.</w:t>
      </w:r>
    </w:p>
    <w:p w14:paraId="38FBA8CB" w14:textId="77777777" w:rsidR="00992245" w:rsidRDefault="00992245"/>
    <w:sectPr w:rsidR="0099224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71"/>
    <w:rsid w:val="000F156F"/>
    <w:rsid w:val="00975471"/>
    <w:rsid w:val="009922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3B307F4"/>
  <w15:chartTrackingRefBased/>
  <w15:docId w15:val="{F7DC1FFF-E7A6-654A-9549-488E90CD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7547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7547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547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75471"/>
    <w:rPr>
      <w:rFonts w:ascii="Times New Roman" w:eastAsia="Times New Roman" w:hAnsi="Times New Roman" w:cs="Times New Roman"/>
      <w:b/>
      <w:bCs/>
      <w:sz w:val="36"/>
      <w:szCs w:val="36"/>
      <w:lang w:eastAsia="fr-FR"/>
    </w:rPr>
  </w:style>
  <w:style w:type="paragraph" w:customStyle="1" w:styleId="infoarticle">
    <w:name w:val="info_article"/>
    <w:basedOn w:val="Normal"/>
    <w:rsid w:val="0097547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75471"/>
    <w:rPr>
      <w:color w:val="0000FF"/>
      <w:u w:val="single"/>
    </w:rPr>
  </w:style>
  <w:style w:type="paragraph" w:styleId="NormalWeb">
    <w:name w:val="Normal (Web)"/>
    <w:basedOn w:val="Normal"/>
    <w:uiPriority w:val="99"/>
    <w:semiHidden/>
    <w:unhideWhenUsed/>
    <w:rsid w:val="0097547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75471"/>
    <w:rPr>
      <w:b/>
      <w:bCs/>
    </w:rPr>
  </w:style>
  <w:style w:type="character" w:styleId="Accentuation">
    <w:name w:val="Emphasis"/>
    <w:basedOn w:val="Policepardfaut"/>
    <w:uiPriority w:val="20"/>
    <w:qFormat/>
    <w:rsid w:val="009754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3931</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2022-01-24T08:09:00Z</dcterms:created>
  <dcterms:modified xsi:type="dcterms:W3CDTF">2022-01-24T08:10:00Z</dcterms:modified>
</cp:coreProperties>
</file>